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8"/>
        <w:gridCol w:w="5173"/>
        <w:gridCol w:w="165"/>
        <w:gridCol w:w="90"/>
        <w:gridCol w:w="40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3579DB2" w:rsidR="00093CA9" w:rsidRDefault="00F92704" w:rsidP="00093CA9">
            <w:r w:rsidRPr="00F92704">
              <w:t>Indonesian Taxonomy for Sustainable Finance (“</w:t>
            </w:r>
            <w:r w:rsidRPr="00B00B31">
              <w:rPr>
                <w:b/>
                <w:bCs/>
              </w:rPr>
              <w:t>TKBI</w:t>
            </w:r>
            <w:r w:rsidRPr="00F92704">
              <w:t>”)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015DA00" w:rsidR="00093CA9" w:rsidRDefault="00DD2ACB" w:rsidP="00093CA9">
            <w:r w:rsidRPr="00DD2ACB">
              <w:t>https://web.archive.org/web/20250603221829/https://ojk.go.id/id/berita-dan-kegiatan/info-terkini/Documents/Pages/Taksonomi-untuk-Keuangan-Berkelanjutan-Indonesia/Buku%20Taksonomi%20untuk%20Keuangan%20Berkelanjutan%20Indonesia%20(TKBI).pdf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3906FF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FA95D2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CA84D45" w:rsidR="00093CA9" w:rsidRDefault="00F9270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6570338D" w14:textId="44F88953" w:rsidR="00DD2ACB" w:rsidRDefault="00DD2ACB" w:rsidP="00743380">
            <w:pPr>
              <w:jc w:val="both"/>
            </w:pPr>
            <w:r>
              <w:t>The purpose of this policy tool is to s</w:t>
            </w:r>
            <w:r w:rsidRPr="00DD2ACB">
              <w:t>erves as a common framework to guide sustainable capital allocation by defining which activities qualify as “Green,” “Transitional,” or “Does Not Meet Classification,” using four environmental objectives</w:t>
            </w:r>
            <w:r>
              <w:t xml:space="preserve">, namely </w:t>
            </w:r>
            <w:r w:rsidRPr="00DD2ACB">
              <w:t>mitigation, adaptation, ecosystem and biodiversity protection, and circular economy resilience</w:t>
            </w:r>
            <w:r>
              <w:t xml:space="preserve">, </w:t>
            </w:r>
            <w:r w:rsidRPr="00DD2ACB">
              <w:t xml:space="preserve">and three essential criteria: Do No Significant Harm, Remedial Measures to Transition, and Social Aspects. </w:t>
            </w:r>
          </w:p>
          <w:p w14:paraId="62E2C4F1" w14:textId="77777777" w:rsidR="00DD2ACB" w:rsidRDefault="00DD2ACB" w:rsidP="00514FC4">
            <w:pPr>
              <w:jc w:val="both"/>
            </w:pPr>
            <w:r w:rsidRPr="00DD2ACB">
              <w:t>T</w:t>
            </w:r>
            <w:r>
              <w:t xml:space="preserve">his policy tools </w:t>
            </w:r>
            <w:r w:rsidRPr="00DD2ACB">
              <w:t>combines Technical Screening Criteria for corporates with a decision</w:t>
            </w:r>
            <w:r w:rsidRPr="00DD2ACB">
              <w:noBreakHyphen/>
              <w:t>tree approach for MSMEs, focusing initially on the energy sector as an NDC</w:t>
            </w:r>
            <w:r w:rsidRPr="00DD2ACB">
              <w:noBreakHyphen/>
              <w:t xml:space="preserve">related priority, and is designed to expand gradually to other sectors. It supports policy consistency and transparency across financial regulation, sustainability reporting, and disclosure obligations under the P2SK Law, while remaining a “living document” to be updated periodically in line with scientific, technological, and policy </w:t>
            </w:r>
            <w:r>
              <w:t>development</w:t>
            </w:r>
          </w:p>
          <w:p w14:paraId="18257824" w14:textId="00300990" w:rsidR="00514FC4" w:rsidRDefault="00514FC4" w:rsidP="00743380">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2A80A5E" w:rsidR="00093CA9" w:rsidRDefault="00DD2AC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AFF8E5B" w:rsidR="00093CA9" w:rsidRPr="00173D7C" w:rsidRDefault="00DD2ACB" w:rsidP="00093CA9">
            <w:pPr>
              <w:rPr>
                <w:color w:val="000000" w:themeColor="text1"/>
              </w:rPr>
            </w:pPr>
            <w:r>
              <w:rPr>
                <w:color w:val="000000" w:themeColor="text1"/>
              </w:rPr>
              <w:t>February,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9A83A60" w:rsidR="00093CA9" w:rsidRDefault="0003246E" w:rsidP="00093CA9">
            <w:r>
              <w:t>Financial Services Authority (</w:t>
            </w:r>
            <w:r w:rsidRPr="00743380">
              <w:rPr>
                <w:i/>
                <w:iCs/>
              </w:rPr>
              <w:t>Otoritas Jasa Keungan</w:t>
            </w:r>
            <w:r>
              <w:t xml:space="preserve"> “</w:t>
            </w:r>
            <w:r w:rsidRPr="00743380">
              <w:rPr>
                <w:b/>
                <w:bCs/>
              </w:rPr>
              <w:t>OJK</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1DB555" w:rsidR="00093CA9" w:rsidRPr="006B7B0D" w:rsidRDefault="00F10C7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4AADC36C" w:rsidR="00093CA9" w:rsidRDefault="00B47E9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C4A97CC" w:rsidR="00D4323A" w:rsidRPr="00CF2E7C" w:rsidRDefault="00701107"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509CEB3B" w:rsidR="00D4323A" w:rsidRPr="00CF2E7C" w:rsidRDefault="00701107"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28F5F8DA" w:rsidR="00D4323A" w:rsidRPr="00CF2E7C" w:rsidRDefault="00701107"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088D4B14" w:rsidR="00D4323A" w:rsidRPr="00CF2E7C" w:rsidRDefault="00701107"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99263D8" w:rsidR="00D4323A" w:rsidRPr="00CF2E7C" w:rsidRDefault="0070110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CD97EF5" w:rsidR="00D4323A" w:rsidRPr="00CF2E7C" w:rsidRDefault="00945E05"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06FAA02E" w:rsidR="00D4323A" w:rsidRPr="00CF2E7C" w:rsidRDefault="00D4323A" w:rsidP="00CF2E7C">
            <w:pPr>
              <w:rPr>
                <w:rFonts w:ascii="Calibri" w:hAnsi="Calibri" w:cs="Calibri"/>
              </w:rPr>
            </w:pPr>
          </w:p>
        </w:tc>
        <w:tc>
          <w:tcPr>
            <w:tcW w:w="1505" w:type="dxa"/>
            <w:vAlign w:val="center"/>
          </w:tcPr>
          <w:p w14:paraId="24A5223C" w14:textId="1DFBA3A2"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033AD03D" w:rsidR="00D4323A" w:rsidRPr="00CF2E7C" w:rsidRDefault="00945E05" w:rsidP="00CF2E7C">
            <w:pPr>
              <w:rPr>
                <w:rFonts w:ascii="Calibri" w:hAnsi="Calibri" w:cs="Calibri"/>
              </w:rPr>
            </w:pPr>
            <w:r>
              <w:rPr>
                <w:rFonts w:ascii="Calibri" w:hAnsi="Calibri" w:cs="Calibri"/>
              </w:rPr>
              <w:t>X</w:t>
            </w: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4FE0FF10" w:rsidR="00D4323A" w:rsidRPr="00CF2E7C" w:rsidRDefault="00D4323A" w:rsidP="00CF2E7C">
            <w:pPr>
              <w:rPr>
                <w:rFonts w:ascii="Calibri" w:hAnsi="Calibri" w:cs="Calibri"/>
              </w:rPr>
            </w:pPr>
          </w:p>
        </w:tc>
        <w:tc>
          <w:tcPr>
            <w:tcW w:w="1505" w:type="dxa"/>
            <w:vAlign w:val="center"/>
          </w:tcPr>
          <w:p w14:paraId="7D2537CF" w14:textId="43158536" w:rsidR="00D4323A" w:rsidRPr="00CF2E7C" w:rsidRDefault="00945E05"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FB68AFC" w:rsidR="00D4323A" w:rsidRPr="00CF2E7C" w:rsidRDefault="00945E05"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0EA31A4" w:rsidR="00D4323A" w:rsidRPr="00CF2E7C" w:rsidRDefault="00945E05"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2EB6189" w:rsidR="00D4323A" w:rsidRPr="00CF2E7C" w:rsidRDefault="00945E05"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D803AA0" w:rsidR="00D4323A" w:rsidRPr="00CF2E7C" w:rsidRDefault="00945E05"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33ACE63B" w:rsidR="00DD292A" w:rsidRPr="00CF2E7C" w:rsidRDefault="002361EF" w:rsidP="00CF2E7C">
            <w:pPr>
              <w:rPr>
                <w:rFonts w:ascii="Calibri" w:hAnsi="Calibri" w:cs="Calibri"/>
              </w:rPr>
            </w:pPr>
            <w:r>
              <w:rPr>
                <w:rFonts w:ascii="Calibri" w:hAnsi="Calibri" w:cs="Calibri"/>
              </w:rPr>
              <w:t>X</w:t>
            </w:r>
          </w:p>
        </w:tc>
        <w:tc>
          <w:tcPr>
            <w:tcW w:w="1505" w:type="dxa"/>
            <w:vAlign w:val="center"/>
          </w:tcPr>
          <w:p w14:paraId="206E8F7C" w14:textId="52C0A5F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49110BB" w:rsidR="00DD292A" w:rsidRPr="00CF2E7C" w:rsidRDefault="002361EF"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579B3A66" w:rsidR="00DD292A" w:rsidRPr="00CF2E7C" w:rsidRDefault="002361EF" w:rsidP="00CF2E7C">
            <w:pPr>
              <w:rPr>
                <w:rFonts w:ascii="Calibri" w:hAnsi="Calibri" w:cs="Calibri"/>
              </w:rPr>
            </w:pPr>
            <w:r>
              <w:rPr>
                <w:rFonts w:ascii="Calibri" w:hAnsi="Calibri" w:cs="Calibri"/>
              </w:rPr>
              <w:t>X</w:t>
            </w:r>
          </w:p>
        </w:tc>
        <w:tc>
          <w:tcPr>
            <w:tcW w:w="1505" w:type="dxa"/>
            <w:vAlign w:val="center"/>
          </w:tcPr>
          <w:p w14:paraId="2341305D" w14:textId="6856680F"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F5E3DD7" w:rsidR="00DD292A" w:rsidRPr="00CF2E7C" w:rsidRDefault="00FE21A5"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6BD0ECF4" w:rsidR="00DD292A" w:rsidRPr="00CF2E7C" w:rsidRDefault="00FE21A5"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6D8FE058" w:rsidR="00DD292A" w:rsidRPr="00CF2E7C" w:rsidRDefault="00FE21A5"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00CD8147" w:rsidR="00DD292A" w:rsidRPr="00CF2E7C" w:rsidRDefault="002361EF" w:rsidP="00CF2E7C">
            <w:pPr>
              <w:rPr>
                <w:rFonts w:ascii="Calibri" w:hAnsi="Calibri" w:cs="Calibri"/>
              </w:rPr>
            </w:pPr>
            <w:r>
              <w:rPr>
                <w:rFonts w:ascii="Calibri" w:hAnsi="Calibri" w:cs="Calibri"/>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0B6EBE8F" w:rsidR="00DD292A" w:rsidRPr="00CF2E7C" w:rsidRDefault="00E6425F" w:rsidP="00CF2E7C">
            <w:pPr>
              <w:rPr>
                <w:rFonts w:ascii="Calibri" w:hAnsi="Calibri" w:cs="Calibri"/>
              </w:rPr>
            </w:pPr>
            <w:r>
              <w:rPr>
                <w:rFonts w:ascii="Calibri" w:hAnsi="Calibri" w:cs="Calibri"/>
              </w:rPr>
              <w:t>X</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5D821E62" w:rsidR="00DD292A" w:rsidRPr="00CF2E7C" w:rsidRDefault="00E6425F" w:rsidP="00CF2E7C">
            <w:pPr>
              <w:rPr>
                <w:rFonts w:ascii="Calibri" w:hAnsi="Calibri" w:cs="Calibri"/>
              </w:rPr>
            </w:pPr>
            <w:r>
              <w:rPr>
                <w:rFonts w:ascii="Calibri" w:hAnsi="Calibri" w:cs="Calibri"/>
              </w:rPr>
              <w:t>X</w:t>
            </w:r>
          </w:p>
        </w:tc>
        <w:tc>
          <w:tcPr>
            <w:tcW w:w="1505" w:type="dxa"/>
            <w:vAlign w:val="center"/>
          </w:tcPr>
          <w:p w14:paraId="27B73CB2" w14:textId="10916166"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6283FDB5" w:rsidR="00DD292A" w:rsidRPr="00CF2E7C" w:rsidRDefault="00E6425F" w:rsidP="00CF2E7C">
            <w:pPr>
              <w:rPr>
                <w:rFonts w:ascii="Calibri" w:hAnsi="Calibri" w:cs="Calibri"/>
              </w:rPr>
            </w:pPr>
            <w:r>
              <w:rPr>
                <w:rFonts w:ascii="Calibri" w:hAnsi="Calibri" w:cs="Calibri"/>
              </w:rPr>
              <w:t>X</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2B119F30" w:rsidR="00DD292A" w:rsidRPr="00CF2E7C" w:rsidRDefault="00E6425F" w:rsidP="00CF2E7C">
            <w:pPr>
              <w:rPr>
                <w:rFonts w:ascii="Calibri" w:hAnsi="Calibri" w:cs="Calibri"/>
              </w:rPr>
            </w:pPr>
            <w:r>
              <w:rPr>
                <w:rFonts w:ascii="Calibri" w:hAnsi="Calibri" w:cs="Calibri"/>
              </w:rPr>
              <w:t>X</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0C82008D" w:rsidR="00DD292A" w:rsidRPr="00CF2E7C" w:rsidRDefault="00E6425F" w:rsidP="00CF2E7C">
            <w:pPr>
              <w:rPr>
                <w:rFonts w:ascii="Calibri" w:hAnsi="Calibri" w:cs="Calibri"/>
              </w:rPr>
            </w:pPr>
            <w:r>
              <w:rPr>
                <w:rFonts w:ascii="Calibri" w:hAnsi="Calibri" w:cs="Calibri"/>
              </w:rPr>
              <w:t>X</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4AEEFE25" w:rsidR="00DD292A" w:rsidRPr="00CF2E7C" w:rsidRDefault="002361EF"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A335137" w:rsidR="00DD292A" w:rsidRPr="00CF2E7C" w:rsidRDefault="002361EF"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660F59AB" w:rsidR="00DD292A" w:rsidRPr="00CF2E7C" w:rsidRDefault="002361EF"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23BCCF64" w:rsidR="00DD292A" w:rsidRPr="00CF2E7C" w:rsidRDefault="002361EF"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60A5D31D" w:rsidR="00DD292A" w:rsidRPr="00CF2E7C" w:rsidRDefault="002361EF"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3078A402" w:rsidR="00DD292A" w:rsidRPr="00CF2E7C" w:rsidRDefault="002361EF"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60D785C7" w:rsidR="00DD292A" w:rsidRPr="00CF2E7C" w:rsidRDefault="002361EF"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3E6A370" w:rsidR="00DD292A" w:rsidRPr="00CF2E7C" w:rsidRDefault="002361EF"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5800CD4D" w:rsidR="00DD292A" w:rsidRPr="00CF2E7C" w:rsidRDefault="002361EF"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A51CAD0" w:rsidR="00DD292A" w:rsidRPr="00CF2E7C" w:rsidRDefault="002361EF"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A151EFC" w:rsidR="00DD292A" w:rsidRPr="00CF2E7C" w:rsidRDefault="002361EF"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26C2A99" w:rsidR="00DD292A" w:rsidRPr="00CF2E7C" w:rsidRDefault="002361EF"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1130894" w:rsidR="00DD292A" w:rsidRPr="00CF2E7C" w:rsidRDefault="002361EF"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F9391B0" w:rsidR="00DD292A" w:rsidRPr="00CF2E7C" w:rsidRDefault="002361EF"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C5F6273" w:rsidR="00DD292A" w:rsidRPr="00CF2E7C" w:rsidRDefault="002361EF"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C8EDF27" w:rsidR="00DD292A" w:rsidRPr="00CF2E7C" w:rsidRDefault="002361EF"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14407CD2" w14:textId="77777777" w:rsidR="00DD292A" w:rsidRDefault="00564C0C" w:rsidP="00114C56">
            <w:pPr>
              <w:jc w:val="both"/>
              <w:rPr>
                <w:rFonts w:ascii="Calibri" w:hAnsi="Calibri" w:cs="Calibri"/>
              </w:rPr>
            </w:pPr>
            <w:r w:rsidRPr="00564C0C">
              <w:rPr>
                <w:rFonts w:ascii="Calibri" w:hAnsi="Calibri" w:cs="Calibri"/>
              </w:rPr>
              <w:t>The policy tool serves solely as a reference for the entities listed in Section 5.1 in implementing sustainable finance. Accordingly, there are no threshold criteria for which compliance is mandatory</w:t>
            </w:r>
            <w:r>
              <w:rPr>
                <w:rFonts w:ascii="Calibri" w:hAnsi="Calibri" w:cs="Calibri"/>
              </w:rPr>
              <w:t xml:space="preserve"> as the policy tool only serves as a guidance.</w:t>
            </w:r>
          </w:p>
          <w:p w14:paraId="00B7C4FE" w14:textId="591C4F82" w:rsidR="00564C0C" w:rsidRPr="00CF2E7C" w:rsidRDefault="00564C0C" w:rsidP="00743380">
            <w:pPr>
              <w:jc w:val="both"/>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405A8713" w:rsidR="00DD292A" w:rsidRPr="00CF2E7C" w:rsidRDefault="00225000"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2705C54" w:rsidR="00DD3B33" w:rsidRPr="00CF2E7C" w:rsidRDefault="00564C0C"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43EFBCE2" w:rsidR="00DD292A" w:rsidRPr="00CF2E7C" w:rsidRDefault="00564C0C"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164ED2C8" w:rsidR="00DD292A" w:rsidRPr="00CF2E7C" w:rsidRDefault="00564C0C"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00D7D3E" w:rsidR="00DD292A" w:rsidRPr="00CF2E7C" w:rsidRDefault="00564C0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22C1A444" w:rsidR="00410853" w:rsidRPr="00CF2E7C" w:rsidRDefault="001432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7C23A1" w14:textId="4A8463E2" w:rsidR="004B3FD9" w:rsidRDefault="004B3FD9" w:rsidP="004B3FD9">
            <w:pPr>
              <w:jc w:val="both"/>
              <w:textAlignment w:val="baseline"/>
              <w:rPr>
                <w:rFonts w:ascii="Calibri" w:eastAsia="Times New Roman" w:hAnsi="Calibri" w:cs="Calibri"/>
                <w:kern w:val="0"/>
                <w:lang w:eastAsia="en-GB"/>
                <w14:ligatures w14:val="none"/>
              </w:rPr>
            </w:pPr>
            <w:r w:rsidRPr="004B3FD9">
              <w:rPr>
                <w:rFonts w:ascii="Calibri" w:eastAsia="Times New Roman" w:hAnsi="Calibri" w:cs="Calibri"/>
                <w:kern w:val="0"/>
                <w:lang w:eastAsia="en-GB"/>
                <w14:ligatures w14:val="none"/>
              </w:rPr>
              <w:t>T</w:t>
            </w:r>
            <w:r>
              <w:rPr>
                <w:rFonts w:ascii="Calibri" w:eastAsia="Times New Roman" w:hAnsi="Calibri" w:cs="Calibri"/>
                <w:kern w:val="0"/>
                <w:lang w:eastAsia="en-GB"/>
                <w14:ligatures w14:val="none"/>
              </w:rPr>
              <w:t xml:space="preserve">his policy tool </w:t>
            </w:r>
            <w:r w:rsidR="00564C0C">
              <w:rPr>
                <w:rFonts w:ascii="Calibri" w:eastAsia="Times New Roman" w:hAnsi="Calibri" w:cs="Calibri"/>
                <w:kern w:val="0"/>
                <w:lang w:eastAsia="en-GB"/>
                <w14:ligatures w14:val="none"/>
              </w:rPr>
              <w:t>serves</w:t>
            </w:r>
            <w:r>
              <w:rPr>
                <w:rFonts w:ascii="Calibri" w:eastAsia="Times New Roman" w:hAnsi="Calibri" w:cs="Calibri"/>
                <w:kern w:val="0"/>
                <w:lang w:eastAsia="en-GB"/>
                <w14:ligatures w14:val="none"/>
              </w:rPr>
              <w:t xml:space="preserve"> as a</w:t>
            </w:r>
            <w:r w:rsidRPr="004B3FD9">
              <w:rPr>
                <w:rFonts w:ascii="Calibri" w:eastAsia="Times New Roman" w:hAnsi="Calibri" w:cs="Calibri"/>
                <w:kern w:val="0"/>
                <w:lang w:eastAsia="en-GB"/>
                <w14:ligatures w14:val="none"/>
              </w:rPr>
              <w:t xml:space="preserve"> framework for economic activities that balances economic, environmental, and social considerations, and is specifically designed to support the growth and implementation of sustainable finance in Indonesia. It serves as a reference for directing capital and investment towards activities within the Nationally Determined Contribution (NDC) sectors that contribute to the country’s net zero emission target, starting with a focus on the energy sector. By embedding sustainability criteria into financial decision-making,</w:t>
            </w:r>
          </w:p>
          <w:p w14:paraId="3096624F" w14:textId="77777777" w:rsidR="004B3FD9" w:rsidRDefault="004B3FD9" w:rsidP="004B3FD9">
            <w:pPr>
              <w:jc w:val="both"/>
              <w:textAlignment w:val="baseline"/>
              <w:rPr>
                <w:rFonts w:ascii="Calibri" w:eastAsia="Times New Roman" w:hAnsi="Calibri" w:cs="Calibri"/>
                <w:kern w:val="0"/>
                <w:lang w:eastAsia="en-GB"/>
                <w14:ligatures w14:val="none"/>
              </w:rPr>
            </w:pPr>
          </w:p>
          <w:p w14:paraId="127308B5" w14:textId="09CF7AF6" w:rsidR="004B3FD9" w:rsidRPr="00CF2E7C" w:rsidRDefault="004B3FD9" w:rsidP="00743380">
            <w:pPr>
              <w:jc w:val="both"/>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547538D" w:rsidR="008C4722" w:rsidRPr="00CF2E7C" w:rsidRDefault="00114C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40408BE9" w:rsidR="008C4722" w:rsidRPr="00CF2E7C" w:rsidRDefault="004B3F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456C1E1" w:rsidR="007B7DEE" w:rsidRPr="00CF2E7C" w:rsidRDefault="00114C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523209FD" w:rsidR="00ED7E12" w:rsidRPr="00CF2E7C" w:rsidRDefault="00564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24B7EE1F" w:rsidR="00FE0EA5" w:rsidRPr="009C4D10" w:rsidRDefault="00FE0EA5" w:rsidP="00CF2E7C">
            <w:pPr>
              <w:rPr>
                <w:rFonts w:cstheme="minorHAnsi"/>
              </w:rPr>
            </w:pPr>
            <w:r w:rsidRPr="009C4D10">
              <w:rPr>
                <w:rFonts w:cstheme="minorHAnsi"/>
                <w:lang w:val="en-SG"/>
              </w:rPr>
              <w:t> </w:t>
            </w:r>
            <w:r w:rsidRPr="009C4D10">
              <w:rPr>
                <w:rFonts w:cstheme="minorHAnsi"/>
              </w:rPr>
              <w:t> </w:t>
            </w:r>
            <w:r w:rsidR="000A177E">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2A3FF3" w14:textId="77777777" w:rsidR="00737E5B" w:rsidRDefault="00737E5B" w:rsidP="00874E39">
      <w:r>
        <w:separator/>
      </w:r>
    </w:p>
  </w:endnote>
  <w:endnote w:type="continuationSeparator" w:id="0">
    <w:p w14:paraId="39D43A85" w14:textId="77777777" w:rsidR="00737E5B" w:rsidRDefault="00737E5B" w:rsidP="00874E39">
      <w:r>
        <w:continuationSeparator/>
      </w:r>
    </w:p>
  </w:endnote>
  <w:endnote w:type="continuationNotice" w:id="1">
    <w:p w14:paraId="2ECEB156" w14:textId="77777777" w:rsidR="00737E5B" w:rsidRDefault="00737E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9835F1" w14:textId="77777777" w:rsidR="00737E5B" w:rsidRDefault="00737E5B" w:rsidP="00874E39">
      <w:r>
        <w:separator/>
      </w:r>
    </w:p>
  </w:footnote>
  <w:footnote w:type="continuationSeparator" w:id="0">
    <w:p w14:paraId="2B7D39A9" w14:textId="77777777" w:rsidR="00737E5B" w:rsidRDefault="00737E5B" w:rsidP="00874E39">
      <w:r>
        <w:continuationSeparator/>
      </w:r>
    </w:p>
  </w:footnote>
  <w:footnote w:type="continuationNotice" w:id="1">
    <w:p w14:paraId="3E209679" w14:textId="77777777" w:rsidR="00737E5B" w:rsidRDefault="00737E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46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77E"/>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F25"/>
    <w:rsid w:val="0011467E"/>
    <w:rsid w:val="00114C56"/>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2EA"/>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000"/>
    <w:rsid w:val="00226338"/>
    <w:rsid w:val="0023001C"/>
    <w:rsid w:val="002303CF"/>
    <w:rsid w:val="002317BC"/>
    <w:rsid w:val="00232931"/>
    <w:rsid w:val="00232DDB"/>
    <w:rsid w:val="00233687"/>
    <w:rsid w:val="002338C8"/>
    <w:rsid w:val="0023504C"/>
    <w:rsid w:val="0023523E"/>
    <w:rsid w:val="002361EF"/>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D2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FD9"/>
    <w:rsid w:val="004B4203"/>
    <w:rsid w:val="004B53E5"/>
    <w:rsid w:val="004B666D"/>
    <w:rsid w:val="004B739E"/>
    <w:rsid w:val="004B77AB"/>
    <w:rsid w:val="004C006D"/>
    <w:rsid w:val="004C0B00"/>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4FC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C0C"/>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97F97"/>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58D"/>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107"/>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E5B"/>
    <w:rsid w:val="0074022B"/>
    <w:rsid w:val="007404B4"/>
    <w:rsid w:val="00740BD6"/>
    <w:rsid w:val="007419BF"/>
    <w:rsid w:val="00741AA1"/>
    <w:rsid w:val="0074258C"/>
    <w:rsid w:val="00742723"/>
    <w:rsid w:val="0074291C"/>
    <w:rsid w:val="00742D5F"/>
    <w:rsid w:val="00743313"/>
    <w:rsid w:val="00743380"/>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E05"/>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441"/>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B31"/>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47E9F"/>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293"/>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ACB"/>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25F"/>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0C7F"/>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6CF"/>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1A5"/>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a84edb6d-cf86-4b2b-8a62-38e962ed6fbe"/>
    <ds:schemaRef ds:uri="http://www.w3.org/XML/1998/namespace"/>
    <ds:schemaRef ds:uri="http://purl.org/dc/terms/"/>
    <ds:schemaRef ds:uri="f3ae4679-24f8-43cb-880e-0de6e561589c"/>
    <ds:schemaRef ds:uri="http://purl.org/dc/dcmitype/"/>
    <ds:schemaRef ds:uri="http://schemas.openxmlformats.org/package/2006/metadata/core-properties"/>
    <ds:schemaRef ds:uri="http://schemas.microsoft.com/office/2006/documentManagement/types"/>
    <ds:schemaRef ds:uri="http://purl.org/dc/elements/1.1/"/>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410</TotalTime>
  <Pages>7</Pages>
  <Words>20466</Words>
  <Characters>127300</Characters>
  <Application>Microsoft Office Word</Application>
  <DocSecurity>0</DocSecurity>
  <Lines>4896</Lines>
  <Paragraphs>1477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16</cp:revision>
  <cp:lastPrinted>2025-03-21T00:14:00Z</cp:lastPrinted>
  <dcterms:created xsi:type="dcterms:W3CDTF">2025-06-25T11:59:00Z</dcterms:created>
  <dcterms:modified xsi:type="dcterms:W3CDTF">2025-08-12T10:07:00Z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